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tLeast" w:line="270" w:before="0" w:after="0"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Il sottoscritto ……………………………., nato a …………………… il …………….. , C.F.: ……………………… consapevole della responsabilità penale e delle conseguenti sanzioni cui può andare incontro in caso di falsa dichiarazione ai sensi dell'art. 76 del D.P.R. n. 44512000 nonché della decadenza dei benefici eventualmente conseguiti a seguito del provvedimento adottato, così come previsto dall'art. 75 del D.P.R. n. 445/2000; ai sensi e per gli effetti dell’ art. 47 del DPR n° 445/2000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Arial" w:hAnsi="Arial" w:eastAsia="Times New Roman" w:cs="Arial"/>
          <w:b/>
          <w:b/>
          <w:color w:val="auto"/>
          <w:sz w:val="20"/>
          <w:szCs w:val="20"/>
          <w:lang w:eastAsia="it-IT"/>
        </w:rPr>
      </w:pPr>
      <w:r>
        <w:rPr>
          <w:rFonts w:eastAsia="Times New Roman" w:cs="Arial" w:ascii="Arial" w:hAnsi="Arial"/>
          <w:b/>
          <w:color w:val="auto"/>
          <w:sz w:val="20"/>
          <w:szCs w:val="20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color w:val="auto"/>
        </w:rPr>
      </w:pPr>
      <w:r>
        <w:rPr>
          <w:rFonts w:eastAsia="Times New Roman" w:cs="Arial" w:ascii="Arial" w:hAnsi="Arial"/>
          <w:b/>
          <w:color w:val="auto"/>
          <w:sz w:val="20"/>
          <w:szCs w:val="20"/>
          <w:lang w:eastAsia="it-IT"/>
        </w:rPr>
        <w:t>D I C H I A R A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Autospacing="1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di non aver espletato nè è destinato ad espletare compiti connessi alla progettazione o quale membro del seggio di gara, impegnandosi a non accettare e/o a rinunciare agli incarichi incompatibili</w:t>
      </w:r>
      <w:r>
        <w:rPr>
          <w:rStyle w:val="Richiamoallanotaapidipagina"/>
          <w:rFonts w:eastAsia="Times New Roman" w:cs="Arial" w:ascii="Arial" w:hAnsi="Arial"/>
          <w:color w:val="auto"/>
          <w:sz w:val="18"/>
          <w:szCs w:val="18"/>
          <w:lang w:eastAsia="it-IT"/>
        </w:rPr>
        <w:footnoteReference w:id="2"/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Autospacing="1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di non aver concorso con dolo o colpa grave, accertata con sentenza, all'approvazione di atti amministrativi dichiarati illegittimi</w:t>
      </w:r>
      <w:r>
        <w:rPr>
          <w:rStyle w:val="Richiamoallanotaapidipagina"/>
          <w:rFonts w:eastAsia="Times New Roman" w:cs="Arial" w:ascii="Arial" w:hAnsi="Arial"/>
          <w:color w:val="auto"/>
          <w:sz w:val="18"/>
          <w:szCs w:val="18"/>
          <w:lang w:eastAsia="it-IT"/>
        </w:rPr>
        <w:footnoteReference w:id="3"/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="0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che egli stesso ed il proprio coniuge, non sono parenti fino al quarto grado o legati da vincoli di affiliazione, o conviventi o commensali abituali del Rup o del Dirigente scolastico</w:t>
      </w:r>
      <w:r>
        <w:rPr>
          <w:rFonts w:eastAsia="Times New Roman" w:cs="Arial" w:ascii="Arial" w:hAnsi="Arial"/>
          <w:color w:val="auto"/>
          <w:sz w:val="18"/>
          <w:szCs w:val="18"/>
          <w:vertAlign w:val="superscript"/>
          <w:lang w:eastAsia="it-IT"/>
        </w:rPr>
        <w:t>5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Autospacing="1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 xml:space="preserve"> 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di impegnarsi a dichiarare l’ eventuale parentela, propria o del coniuge, nei confronti dei membri della Commissione che abbiano avuto competenza alla valutazione della propria candidatura</w:t>
      </w:r>
      <w:r>
        <w:rPr>
          <w:rStyle w:val="Richiamoallanotaapidipagina"/>
          <w:rFonts w:eastAsia="Times New Roman" w:cs="Arial" w:ascii="Arial" w:hAnsi="Arial"/>
          <w:color w:val="auto"/>
          <w:sz w:val="18"/>
          <w:szCs w:val="18"/>
          <w:lang w:eastAsia="it-IT"/>
        </w:rPr>
        <w:footnoteReference w:id="4"/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="0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di impegnarsi a dichiarare se egli stesso ed il proprio coniuge non hanno cause pendenti o gravi inimicizie o rapporti di credito o debito con alcuno dei membri del seggio di gara/selezione</w:t>
      </w:r>
      <w:r>
        <w:rPr>
          <w:rFonts w:eastAsia="Times New Roman" w:cs="Arial" w:ascii="Arial" w:hAnsi="Arial"/>
          <w:color w:val="auto"/>
          <w:sz w:val="18"/>
          <w:szCs w:val="18"/>
          <w:vertAlign w:val="superscript"/>
          <w:lang w:eastAsia="it-IT"/>
        </w:rPr>
        <w:t>4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70" w:before="0" w:after="240"/>
        <w:contextualSpacing/>
        <w:jc w:val="both"/>
        <w:rPr>
          <w:color w:val="auto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che non è tutore, curatore, amministratore di sostegno, procuratore, agente o datore di lavoro di alcuno dei Membri del seggio di gara/selezione</w:t>
      </w:r>
      <w:r>
        <w:rPr>
          <w:rFonts w:eastAsia="Times New Roman" w:cs="Arial" w:ascii="Arial" w:hAnsi="Arial"/>
          <w:color w:val="auto"/>
          <w:sz w:val="18"/>
          <w:szCs w:val="18"/>
          <w:vertAlign w:val="superscript"/>
          <w:lang w:eastAsia="it-IT"/>
        </w:rPr>
        <w:t>5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08"/>
          <w:tab w:val="left" w:pos="9638" w:leader="none"/>
          <w:tab w:val="left" w:pos="9923" w:leader="none"/>
        </w:tabs>
        <w:jc w:val="both"/>
        <w:rPr>
          <w:rFonts w:ascii="Arial" w:hAnsi="Arial" w:eastAsia="Times New Roman" w:cs="Arial"/>
          <w:color w:val="auto"/>
          <w:sz w:val="18"/>
          <w:szCs w:val="18"/>
          <w:lang w:eastAsia="it-IT"/>
        </w:rPr>
      </w:pP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di</w:t>
      </w:r>
      <w:r>
        <w:rPr>
          <w:rFonts w:eastAsia="Times New Roman" w:cs="Arial" w:ascii="Arial" w:hAnsi="Arial"/>
          <w:color w:val="auto"/>
          <w:spacing w:val="23"/>
          <w:sz w:val="18"/>
          <w:szCs w:val="18"/>
          <w:lang w:eastAsia="it-IT"/>
        </w:rPr>
        <w:t xml:space="preserve"> non 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avere</w:t>
      </w:r>
      <w:r>
        <w:rPr>
          <w:rFonts w:eastAsia="Times New Roman" w:cs="Arial" w:ascii="Arial" w:hAnsi="Arial"/>
          <w:color w:val="auto"/>
          <w:spacing w:val="36"/>
          <w:sz w:val="18"/>
          <w:szCs w:val="18"/>
          <w:lang w:eastAsia="it-IT"/>
        </w:rPr>
        <w:t xml:space="preserve"> </w:t>
      </w: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t>altri rapporti di lavoro dipendente, o di collaborazione continuativa o di consulenza con le altre Amministrazioni pubbliche o con soggetti privati, salvo quelli eventualmente derivanti da incarichi espressamente consentiti da disposizioni normative o autorizzati o conferiti dall’ Amministrazione per come stabilito, in particolare, dall’art. 53 del D.Lgs.n. 165/2001 e successive modifiche</w:t>
      </w:r>
      <w:r>
        <w:rPr>
          <w:rStyle w:val="Richiamoallanotaapidipagina"/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footnoteReference w:id="5"/>
      </w: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pacing w:lineRule="auto" w:line="254" w:before="0" w:after="160"/>
        <w:contextualSpacing/>
        <w:jc w:val="both"/>
        <w:rPr>
          <w:rFonts w:ascii="Arial" w:hAnsi="Arial" w:eastAsia="Times New Roman" w:cs="Arial"/>
          <w:color w:val="auto"/>
          <w:sz w:val="18"/>
          <w:szCs w:val="18"/>
          <w:lang w:eastAsia="it-IT"/>
        </w:rPr>
      </w:pP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t>di non trovarsi in alcuna delle cause di incompatibilità richiamate dall’art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>. 6-bis Legge 241/1990;</w:t>
      </w:r>
    </w:p>
    <w:p>
      <w:pPr>
        <w:pStyle w:val="ListParagraph"/>
        <w:numPr>
          <w:ilvl w:val="0"/>
          <w:numId w:val="1"/>
        </w:numPr>
        <w:spacing w:lineRule="auto" w:line="254" w:before="0" w:after="160"/>
        <w:contextualSpacing/>
        <w:jc w:val="both"/>
        <w:rPr>
          <w:rFonts w:ascii="Arial" w:hAnsi="Arial" w:eastAsia="Times New Roman" w:cs="Arial"/>
          <w:color w:val="auto"/>
          <w:sz w:val="18"/>
          <w:szCs w:val="18"/>
          <w:lang w:eastAsia="it-IT"/>
        </w:rPr>
      </w:pP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t>di non trovarsi in alcuna delle cause di incompatibilità richiamate dall’art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 xml:space="preserve"> D.P.R. 16 aprile 2013, n. 62, recante “Codice di comportamento dei dipendenti pubblici”;</w:t>
      </w:r>
    </w:p>
    <w:p>
      <w:pPr>
        <w:pStyle w:val="ListParagraph"/>
        <w:numPr>
          <w:ilvl w:val="0"/>
          <w:numId w:val="1"/>
        </w:numPr>
        <w:spacing w:lineRule="auto" w:line="254" w:before="0" w:after="160"/>
        <w:contextualSpacing/>
        <w:jc w:val="both"/>
        <w:rPr>
          <w:rFonts w:ascii="Arial" w:hAnsi="Arial" w:eastAsia="Times New Roman" w:cs="Arial"/>
          <w:color w:val="auto"/>
          <w:sz w:val="18"/>
          <w:szCs w:val="18"/>
          <w:lang w:eastAsia="it-IT"/>
        </w:rPr>
      </w:pP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  <w:t>di non trovarsi in alcuna delle cause di incompatibilità richiamate dall’art</w:t>
      </w:r>
      <w:r>
        <w:rPr>
          <w:rFonts w:eastAsia="Times New Roman" w:cs="Arial" w:ascii="Arial" w:hAnsi="Arial"/>
          <w:color w:val="auto"/>
          <w:sz w:val="18"/>
          <w:szCs w:val="18"/>
          <w:lang w:eastAsia="it-IT"/>
        </w:rPr>
        <w:t xml:space="preserve"> D.M. 30 giugno 2014, n. 525, recante “Codice di comportamento del Ministero dell’Istruzione, dell’Università e della Ricerca”;</w:t>
      </w:r>
    </w:p>
    <w:p>
      <w:pPr>
        <w:pStyle w:val="ListParagraph"/>
        <w:widowControl w:val="false"/>
        <w:tabs>
          <w:tab w:val="clear" w:pos="708"/>
          <w:tab w:val="left" w:pos="3500" w:leader="none"/>
          <w:tab w:val="left" w:pos="4820" w:leader="none"/>
          <w:tab w:val="left" w:pos="9638" w:leader="none"/>
        </w:tabs>
        <w:spacing w:lineRule="auto" w:line="242" w:before="240" w:after="200"/>
        <w:contextualSpacing/>
        <w:jc w:val="both"/>
        <w:rPr>
          <w:rFonts w:ascii="Arial" w:hAnsi="Arial" w:eastAsia="Times New Roman" w:cs="Arial"/>
          <w:color w:val="auto"/>
          <w:w w:val="109"/>
          <w:sz w:val="18"/>
          <w:szCs w:val="18"/>
          <w:lang w:eastAsia="it-IT"/>
        </w:rPr>
      </w:pPr>
      <w:r>
        <w:rPr>
          <w:rFonts w:eastAsia="Times New Roman" w:cs="Arial" w:ascii="Arial" w:hAnsi="Arial"/>
          <w:color w:val="auto"/>
          <w:w w:val="109"/>
          <w:sz w:val="18"/>
          <w:szCs w:val="18"/>
          <w:lang w:eastAsia="it-IT"/>
        </w:rPr>
      </w:r>
    </w:p>
    <w:p>
      <w:pPr>
        <w:pStyle w:val="ListParagraph"/>
        <w:shd w:val="clear" w:color="auto" w:fill="FFFFFF"/>
        <w:spacing w:lineRule="atLeast" w:line="270" w:beforeAutospacing="1" w:after="240"/>
        <w:contextualSpacing/>
        <w:jc w:val="both"/>
        <w:rPr>
          <w:rFonts w:ascii="Lucida Grande" w:hAnsi="Lucida Grande" w:eastAsia="Times New Roman" w:cs="Times New Roman"/>
          <w:color w:val="auto"/>
          <w:sz w:val="18"/>
          <w:szCs w:val="18"/>
          <w:lang w:eastAsia="it-IT"/>
        </w:rPr>
      </w:pPr>
      <w:r>
        <w:rPr>
          <w:rFonts w:eastAsia="Times New Roman" w:cs="Times New Roman" w:ascii="Lucida Grande" w:hAnsi="Lucida Grande"/>
          <w:color w:val="auto"/>
          <w:sz w:val="18"/>
          <w:szCs w:val="18"/>
          <w:lang w:eastAsia="it-IT"/>
        </w:rPr>
      </w:r>
    </w:p>
    <w:p>
      <w:pPr>
        <w:pStyle w:val="ListParagraph"/>
        <w:shd w:val="clear" w:color="auto" w:fill="FFFFFF"/>
        <w:spacing w:lineRule="atLeast" w:line="270" w:beforeAutospacing="1" w:after="240"/>
        <w:contextualSpacing/>
        <w:jc w:val="both"/>
        <w:rPr>
          <w:color w:val="auto"/>
        </w:rPr>
      </w:pPr>
      <w:r>
        <w:rPr>
          <w:rFonts w:eastAsia="Times New Roman" w:cs="Times New Roman" w:ascii="Lucida Grande" w:hAnsi="Lucida Grande"/>
          <w:color w:val="auto"/>
          <w:sz w:val="18"/>
          <w:szCs w:val="18"/>
          <w:lang w:eastAsia="it-IT"/>
        </w:rPr>
        <w:t>Data …………………………….</w:t>
      </w:r>
    </w:p>
    <w:p>
      <w:pPr>
        <w:pStyle w:val="ListParagraph"/>
        <w:shd w:val="clear" w:color="auto" w:fill="FFFFFF"/>
        <w:spacing w:lineRule="atLeast" w:line="270" w:beforeAutospacing="1" w:after="240"/>
        <w:contextualSpacing/>
        <w:jc w:val="both"/>
        <w:rPr>
          <w:rFonts w:ascii="Lucida Grande" w:hAnsi="Lucida Grande" w:eastAsia="Times New Roman" w:cs="Times New Roman"/>
          <w:color w:val="auto"/>
          <w:sz w:val="18"/>
          <w:szCs w:val="18"/>
          <w:lang w:eastAsia="it-IT"/>
        </w:rPr>
      </w:pPr>
      <w:r>
        <w:rPr>
          <w:rFonts w:eastAsia="Times New Roman" w:cs="Times New Roman" w:ascii="Lucida Grande" w:hAnsi="Lucida Grande"/>
          <w:color w:val="auto"/>
          <w:sz w:val="18"/>
          <w:szCs w:val="18"/>
          <w:lang w:eastAsia="it-IT"/>
        </w:rPr>
      </w:r>
    </w:p>
    <w:p>
      <w:pPr>
        <w:pStyle w:val="ListParagraph"/>
        <w:shd w:val="clear" w:color="auto" w:fill="FFFFFF"/>
        <w:spacing w:lineRule="atLeast" w:line="270" w:beforeAutospacing="1" w:after="240"/>
        <w:contextualSpacing/>
        <w:jc w:val="both"/>
        <w:rPr>
          <w:color w:val="auto"/>
        </w:rPr>
      </w:pPr>
      <w:r>
        <w:rPr>
          <w:rFonts w:eastAsia="Times New Roman" w:cs="Times New Roman" w:ascii="Lucida Grande" w:hAnsi="Lucida Grande"/>
          <w:color w:val="auto"/>
          <w:sz w:val="18"/>
          <w:szCs w:val="18"/>
          <w:lang w:eastAsia="it-IT"/>
        </w:rPr>
        <w:t>Firma ... ... ... ... ... ... ... ...</w:t>
      </w:r>
    </w:p>
    <w:p>
      <w:pPr>
        <w:pStyle w:val="Normal"/>
        <w:shd w:val="clear" w:color="auto" w:fill="FFFFFF"/>
        <w:spacing w:lineRule="atLeast" w:line="270" w:beforeAutospacing="1" w:after="240"/>
        <w:rPr>
          <w:rFonts w:ascii="Arial" w:hAnsi="Arial" w:eastAsia="Times New Roman" w:cs="Arial"/>
          <w:b/>
          <w:b/>
          <w:bCs/>
          <w:color w:val="auto"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bCs/>
          <w:color w:val="auto"/>
          <w:sz w:val="18"/>
          <w:szCs w:val="18"/>
          <w:lang w:eastAsia="it-IT"/>
        </w:rPr>
      </w:r>
    </w:p>
    <w:p>
      <w:pPr>
        <w:pStyle w:val="Normal"/>
        <w:spacing w:before="0" w:after="200"/>
        <w:rPr>
          <w:color w:val="auto"/>
        </w:rPr>
      </w:pPr>
      <w:r>
        <w:rPr>
          <w:color w:val="auto"/>
        </w:rPr>
      </w:r>
    </w:p>
    <w:sectPr>
      <w:headerReference w:type="default" r:id="rId2"/>
      <w:footnotePr>
        <w:numFmt w:val="decimal"/>
      </w:footnotePr>
      <w:type w:val="nextPage"/>
      <w:pgSz w:w="11906" w:h="16838"/>
      <w:pgMar w:left="1134" w:right="1134" w:header="708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Arial">
    <w:charset w:val="00"/>
    <w:family w:val="roman"/>
    <w:pitch w:val="variable"/>
  </w:font>
  <w:font w:name="Lucida Grande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rPr>
          <w:sz w:val="16"/>
          <w:szCs w:val="16"/>
        </w:rPr>
      </w:pPr>
      <w:r>
        <w:rPr>
          <w:rStyle w:val="Caratterinotaapidipagina"/>
        </w:rPr>
        <w:footnoteRef/>
      </w:r>
      <w:r>
        <w:rPr>
          <w:sz w:val="16"/>
          <w:szCs w:val="16"/>
        </w:rPr>
        <w:t>Commissione Europea Decisione C(2014) n. 9952 del 17 dicembre 2014 e Decisione C(2017) n. 8856 del 18.12.2017  con cui si è dato avvio al Pon 2014/2020 – vedi anche art. 77 del Codice contratti (D.Lgs. 50/2016)</w:t>
      </w:r>
    </w:p>
  </w:footnote>
  <w:footnote w:id="3">
    <w:p>
      <w:pPr>
        <w:pStyle w:val="Notaapidipagina"/>
        <w:rPr>
          <w:lang w:val="en-US"/>
        </w:rPr>
      </w:pPr>
      <w:r>
        <w:rPr>
          <w:rStyle w:val="Caratterinotaapidipagina"/>
        </w:rPr>
        <w:footnoteRef/>
      </w:r>
      <w:r>
        <w:rPr>
          <w:lang w:val="en-US"/>
        </w:rPr>
        <w:t xml:space="preserve"> </w:t>
      </w:r>
      <w:r>
        <w:rPr>
          <w:sz w:val="16"/>
          <w:szCs w:val="16"/>
          <w:lang w:val="en-US"/>
        </w:rPr>
        <w:t>Art. 3 d.Lgs 39/2013 e art. 35 bis del D.Lgs 165/2001</w:t>
      </w:r>
    </w:p>
  </w:footnote>
  <w:footnote w:id="4">
    <w:p>
      <w:pPr>
        <w:pStyle w:val="Notaapidipagina"/>
        <w:rPr>
          <w:lang w:val="en-US"/>
        </w:rPr>
      </w:pPr>
      <w:r>
        <w:rPr>
          <w:rStyle w:val="Caratterinotaapidipagina"/>
        </w:rPr>
        <w:footnoteRef/>
      </w:r>
      <w:r>
        <w:rPr>
          <w:lang w:val="en-US"/>
        </w:rPr>
        <w:t xml:space="preserve"> </w:t>
      </w:r>
      <w:r>
        <w:rPr>
          <w:sz w:val="16"/>
          <w:szCs w:val="16"/>
          <w:lang w:val="en-US"/>
        </w:rPr>
        <w:t>Art. 53 D.lgs 165/2001; art. 6bis legge 241/90 e art. 51 del c.p.c.</w:t>
      </w:r>
    </w:p>
  </w:footnote>
  <w:footnote w:id="5">
    <w:p>
      <w:pPr>
        <w:pStyle w:val="Notaapidipagina"/>
        <w:rPr>
          <w:sz w:val="16"/>
          <w:szCs w:val="16"/>
        </w:rPr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sz w:val="16"/>
          <w:szCs w:val="16"/>
        </w:rPr>
        <w:t>Art. 7 e art. 14 DPR 62/2013</w:t>
      </w:r>
    </w:p>
    <w:p>
      <w:pPr>
        <w:pStyle w:val="Notaapidipagina"/>
        <w:rPr/>
      </w:pPr>
      <w:r>
        <w:rPr>
          <w:rStyle w:val="FootnoteCharacters"/>
        </w:rPr>
        <w:t>5</w:t>
      </w:r>
      <w:r>
        <w:rPr/>
        <w:t xml:space="preserve"> </w:t>
      </w:r>
      <w:r>
        <w:rPr>
          <w:sz w:val="16"/>
          <w:szCs w:val="16"/>
        </w:rPr>
        <w:t>art. 53 del D.Lgs 165/2001 e art. 51 del c.p.c.</w:t>
      </w:r>
    </w:p>
    <w:p>
      <w:pPr>
        <w:pStyle w:val="Notaapidipagina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taapidipagina"/>
        <w:rPr>
          <w:sz w:val="16"/>
          <w:szCs w:val="16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hd w:val="clear" w:color="auto" w:fill="FFFFFF"/>
      <w:spacing w:lineRule="auto" w:line="240" w:before="0" w:after="0"/>
      <w:jc w:val="center"/>
      <w:rPr>
        <w:color w:val="auto"/>
      </w:rPr>
    </w:pPr>
    <w:r>
      <w:rPr>
        <w:rFonts w:eastAsia="Times New Roman" w:cs="Times New Roman" w:ascii="Times New Roman" w:hAnsi="Times New Roman"/>
        <w:color w:val="auto"/>
        <w:sz w:val="24"/>
        <w:szCs w:val="24"/>
        <w:lang w:eastAsia="it-IT"/>
      </w:rPr>
      <w:t>Dichiarazione sostitutiva di atto notorio (resa ai sensi dell'art. 47, D.P.R. 445/2000).</w:t>
    </w:r>
  </w:p>
  <w:p>
    <w:pPr>
      <w:pStyle w:val="Normal"/>
      <w:shd w:val="clear" w:color="auto" w:fill="FFFFFF"/>
      <w:spacing w:lineRule="auto" w:line="240" w:before="0" w:after="0"/>
      <w:jc w:val="both"/>
      <w:rPr>
        <w:color w:val="auto"/>
      </w:rPr>
    </w:pPr>
    <w:r>
      <w:rPr>
        <w:rFonts w:cs="Times New Roman" w:ascii="Times New Roman" w:hAnsi="Times New Roman"/>
        <w:color w:val="auto"/>
        <w:sz w:val="24"/>
        <w:szCs w:val="24"/>
      </w:rPr>
      <w:t xml:space="preserve"> </w:t>
    </w:r>
  </w:p>
  <w:p>
    <w:pPr>
      <w:pStyle w:val="Normal"/>
      <w:shd w:val="clear" w:color="auto" w:fill="FFFFFF"/>
      <w:spacing w:lineRule="auto" w:line="240" w:before="0" w:after="0"/>
      <w:jc w:val="center"/>
      <w:rPr>
        <w:color w:val="auto"/>
      </w:rPr>
    </w:pPr>
    <w:r>
      <w:rPr>
        <w:rFonts w:cs="Times New Roman" w:ascii="Times New Roman" w:hAnsi="Times New Roman"/>
        <w:color w:val="auto"/>
        <w:sz w:val="24"/>
        <w:szCs w:val="24"/>
      </w:rPr>
      <w:t xml:space="preserve">SELEZIONE PER L’ INDIVIDUAZIONE DI ESPERTO PSICOLOGO </w:t>
    </w:r>
  </w:p>
  <w:p>
    <w:pPr>
      <w:pStyle w:val="Normal"/>
      <w:shd w:val="clear" w:color="auto" w:fill="FFFFFF"/>
      <w:spacing w:lineRule="auto" w:line="240" w:before="0" w:after="0"/>
      <w:jc w:val="both"/>
      <w:rPr>
        <w:rFonts w:ascii="Times New Roman" w:hAnsi="Times New Roman" w:eastAsia="Times New Roman" w:cs="Times New Roman"/>
        <w:color w:val="333333"/>
        <w:sz w:val="24"/>
        <w:szCs w:val="24"/>
        <w:lang w:eastAsia="it-IT"/>
      </w:rPr>
    </w:pPr>
    <w:r>
      <w:rPr>
        <w:rFonts w:eastAsia="Times New Roman" w:cs="Times New Roman" w:ascii="Times New Roman" w:hAnsi="Times New Roman"/>
        <w:color w:val="333333"/>
        <w:sz w:val="24"/>
        <w:szCs w:val="24"/>
        <w:lang w:eastAsia="it-IT"/>
      </w:rPr>
    </w:r>
  </w:p>
  <w:p>
    <w:pPr>
      <w:pStyle w:val="Intestazione"/>
      <w:jc w:val="both"/>
      <w:rPr/>
    </w:pPr>
    <w:r>
      <w:rPr>
        <w:b/>
        <w:bCs/>
      </w:rPr>
      <w:t xml:space="preserve">Avviso per la selezione di un </w:t>
    </w:r>
    <w:r>
      <w:rPr>
        <w:b/>
        <w:bCs/>
      </w:rPr>
      <w:t>esper</w:t>
    </w:r>
    <w:r>
      <w:rPr>
        <w:b/>
      </w:rPr>
      <w:t xml:space="preserve">to psicologo per l’attivazione di un servizio di assistenza psicologica rivolto agli studenti frequentanti l’Istituto </w:t>
    </w:r>
    <w:r>
      <w:rPr>
        <w:b/>
      </w:rPr>
      <w:t>Comprensivo G. Deledda</w:t>
    </w:r>
    <w:r>
      <w:rPr>
        <w:b/>
      </w:rPr>
      <w:t xml:space="preserve"> per l’Anno Scolastico 2022/2023, Genitori, Docenti e </w:t>
    </w:r>
    <w:r>
      <w:rPr>
        <w:b/>
      </w:rPr>
      <w:t xml:space="preserve">Personale ATA </w:t>
    </w:r>
    <w:r>
      <w:rPr>
        <w:b/>
      </w:rPr>
      <w:t xml:space="preserve">a decorrere dalla sottoscrizione dell’incarico </w:t>
    </w:r>
  </w:p>
  <w:p>
    <w:pPr>
      <w:pStyle w:val="Intestazione"/>
      <w:jc w:val="both"/>
      <w:rPr/>
    </w:pPr>
    <w:r>
      <w:rPr/>
    </w:r>
  </w:p>
  <w:p>
    <w:pPr>
      <w:pStyle w:val="Default"/>
      <w:rPr/>
    </w:pPr>
    <w:r>
      <w:rPr/>
    </w:r>
  </w:p>
  <w:p>
    <w:pPr>
      <w:pStyle w:val="Normal"/>
      <w:shd w:val="clear" w:color="auto" w:fill="FFFFFF"/>
      <w:spacing w:lineRule="auto" w:line="240" w:before="0" w:after="0"/>
      <w:jc w:val="both"/>
      <w:rPr>
        <w:rFonts w:ascii="Times New Roman" w:hAnsi="Times New Roman" w:cs="Times New Roman"/>
        <w:sz w:val="24"/>
        <w:szCs w:val="24"/>
      </w:rPr>
    </w:pPr>
    <w:r>
      <w:rPr/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333263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33263"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c178b0"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c178b0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33326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33326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33263"/>
    <w:pPr>
      <w:spacing w:before="0" w:after="200"/>
      <w:ind w:left="720" w:hanging="0"/>
      <w:contextualSpacing/>
    </w:pPr>
    <w:rPr/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c178b0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c16e18"/>
    <w:pPr>
      <w:widowControl/>
      <w:bidi w:val="0"/>
      <w:spacing w:lineRule="auto" w:line="240" w:before="0" w:after="0"/>
      <w:jc w:val="left"/>
    </w:pPr>
    <w:rPr>
      <w:rFonts w:ascii="Garamond" w:hAnsi="Garamond" w:cs="Garamond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6D508-B38C-455D-A04E-06C33B097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LibreOffice/6.4.4.2$Windows_X86_64 LibreOffice_project/3d775be2011f3886db32dfd395a6a6d1ca2630ff</Application>
  <Pages>1</Pages>
  <Words>512</Words>
  <Characters>2818</Characters>
  <CharactersWithSpaces>3308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2022-11-21T17:56:00Z</dcterms:created>
  <dc:creator>Utente</dc:creator>
  <dc:description/>
  <dc:language>it-IT</dc:language>
  <cp:lastModifiedBy/>
  <cp:lastPrinted>2022-11-03T11:50:00Z</cp:lastPrinted>
  <dcterms:modified xsi:type="dcterms:W3CDTF">2022-11-24T17:02:07Z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